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D2C" w:rsidRDefault="0088250D" w:rsidP="00017D2C">
      <w:pPr>
        <w:jc w:val="center"/>
      </w:pPr>
      <w: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327pt;height:27.75pt" adj="7200" fillcolor="black">
            <v:shadow color="#868686"/>
            <v:textpath style="font-family:&quot;Times New Roman&quot;;v-text-kern:t" trim="t" fitpath="t" string="Živá magnéziová soľ"/>
          </v:shape>
        </w:pict>
      </w:r>
    </w:p>
    <w:p w:rsidR="00017D2C" w:rsidRDefault="00017D2C" w:rsidP="00017D2C"/>
    <w:p w:rsidR="00017D2C" w:rsidRDefault="00017D2C" w:rsidP="00017D2C">
      <w:pPr>
        <w:jc w:val="both"/>
      </w:pPr>
      <w:r>
        <w:rPr>
          <w:b/>
          <w:noProof/>
          <w:lang w:eastAsia="sk-S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-3810</wp:posOffset>
            </wp:positionV>
            <wp:extent cx="1847850" cy="1847850"/>
            <wp:effectExtent l="19050" t="0" r="0" b="0"/>
            <wp:wrapSquare wrapText="bothSides"/>
            <wp:docPr id="2" name="Obrázok 0" descr="solMAGNE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lMAGNE.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Pod obchodným názvom Živá magnéziová soľ sa k vám dostáva vzácny prírodný dar – soľ s neobyčajným obsahom. Táto soľ bola objavená vo veľkých hĺbkach (viac ako 2 000 m pod zemou) pri prieskumných vrtoch v Ruskej federácii.</w:t>
      </w:r>
    </w:p>
    <w:p w:rsidR="00017D2C" w:rsidRDefault="00017D2C" w:rsidP="00017D2C">
      <w:pPr>
        <w:jc w:val="both"/>
      </w:pPr>
      <w:r>
        <w:t>Jej neobyčajné zloženie, hlavne s množstvom horčíka (Mg), ale i iných minerálov, dáva reálne predpoklady na liečenie, ako podporný liečebný prostriedok.</w:t>
      </w:r>
    </w:p>
    <w:p w:rsidR="00017D2C" w:rsidRDefault="00017D2C" w:rsidP="00017D2C">
      <w:pPr>
        <w:jc w:val="both"/>
      </w:pPr>
    </w:p>
    <w:p w:rsidR="00017D2C" w:rsidRPr="00DD04EC" w:rsidRDefault="00017D2C" w:rsidP="00017D2C">
      <w:pPr>
        <w:jc w:val="both"/>
        <w:rPr>
          <w:b/>
        </w:rPr>
      </w:pPr>
      <w:r w:rsidRPr="00DD04EC">
        <w:rPr>
          <w:b/>
        </w:rPr>
        <w:t>Živú soľ odporúčame využívať hlavne pri kožných, reumatických a zápalových problémoch:</w:t>
      </w:r>
    </w:p>
    <w:p w:rsidR="00017D2C" w:rsidRDefault="00017D2C" w:rsidP="00017D2C">
      <w:pPr>
        <w:pStyle w:val="Odsekzoznamu"/>
        <w:numPr>
          <w:ilvl w:val="0"/>
          <w:numId w:val="1"/>
        </w:numPr>
        <w:jc w:val="both"/>
      </w:pPr>
      <w:r>
        <w:t xml:space="preserve">kožných chorobách (psoriáza, chronické ekzémy, akné, </w:t>
      </w:r>
      <w:proofErr w:type="spellStart"/>
      <w:r>
        <w:t>ichtióza</w:t>
      </w:r>
      <w:proofErr w:type="spellEnd"/>
      <w:r>
        <w:t>, zápalové onemocnenia kože)</w:t>
      </w:r>
    </w:p>
    <w:p w:rsidR="00017D2C" w:rsidRDefault="00017D2C" w:rsidP="00017D2C">
      <w:pPr>
        <w:pStyle w:val="Odsekzoznamu"/>
        <w:numPr>
          <w:ilvl w:val="0"/>
          <w:numId w:val="1"/>
        </w:numPr>
        <w:jc w:val="both"/>
      </w:pPr>
      <w:r>
        <w:t>reumatizme a artritíde (</w:t>
      </w:r>
      <w:proofErr w:type="spellStart"/>
      <w:r>
        <w:t>bechterevova</w:t>
      </w:r>
      <w:proofErr w:type="spellEnd"/>
      <w:r>
        <w:t xml:space="preserve"> choroba, </w:t>
      </w:r>
      <w:proofErr w:type="spellStart"/>
      <w:r>
        <w:t>osteoporóza</w:t>
      </w:r>
      <w:proofErr w:type="spellEnd"/>
      <w:r>
        <w:t>)</w:t>
      </w:r>
    </w:p>
    <w:p w:rsidR="00017D2C" w:rsidRDefault="00017D2C" w:rsidP="00017D2C">
      <w:pPr>
        <w:pStyle w:val="Odsekzoznamu"/>
        <w:numPr>
          <w:ilvl w:val="0"/>
          <w:numId w:val="1"/>
        </w:numPr>
        <w:jc w:val="both"/>
      </w:pPr>
      <w:r>
        <w:t>svalových, kŕčových a kĺbových bolestiach</w:t>
      </w:r>
    </w:p>
    <w:p w:rsidR="00017D2C" w:rsidRDefault="00017D2C" w:rsidP="00017D2C">
      <w:pPr>
        <w:pStyle w:val="Odsekzoznamu"/>
        <w:numPr>
          <w:ilvl w:val="0"/>
          <w:numId w:val="1"/>
        </w:numPr>
        <w:jc w:val="both"/>
      </w:pPr>
      <w:r>
        <w:t xml:space="preserve">cievnych a nervových problémoch </w:t>
      </w:r>
    </w:p>
    <w:p w:rsidR="00017D2C" w:rsidRDefault="00017D2C" w:rsidP="00017D2C">
      <w:pPr>
        <w:pStyle w:val="Odsekzoznamu"/>
        <w:numPr>
          <w:ilvl w:val="0"/>
          <w:numId w:val="1"/>
        </w:numPr>
        <w:jc w:val="both"/>
      </w:pPr>
      <w:r>
        <w:t>pomáha ženám v klimaktériu</w:t>
      </w:r>
    </w:p>
    <w:p w:rsidR="00017D2C" w:rsidRDefault="00017D2C" w:rsidP="00017D2C">
      <w:pPr>
        <w:pStyle w:val="Odsekzoznamu"/>
        <w:numPr>
          <w:ilvl w:val="0"/>
          <w:numId w:val="1"/>
        </w:numPr>
        <w:jc w:val="both"/>
      </w:pPr>
      <w:proofErr w:type="spellStart"/>
      <w:r>
        <w:t>srdcovo-cievných</w:t>
      </w:r>
      <w:proofErr w:type="spellEnd"/>
      <w:r>
        <w:t xml:space="preserve"> ochoreniach (ateroskleróza, </w:t>
      </w:r>
      <w:proofErr w:type="spellStart"/>
      <w:r>
        <w:t>hypertonia</w:t>
      </w:r>
      <w:proofErr w:type="spellEnd"/>
      <w:r>
        <w:t>)</w:t>
      </w:r>
    </w:p>
    <w:p w:rsidR="00017D2C" w:rsidRDefault="00017D2C" w:rsidP="00017D2C">
      <w:pPr>
        <w:pStyle w:val="Odsekzoznamu"/>
        <w:numPr>
          <w:ilvl w:val="0"/>
          <w:numId w:val="1"/>
        </w:numPr>
        <w:jc w:val="both"/>
      </w:pPr>
      <w:r>
        <w:t>pomáha liečiť ženské pohlavné orgány (zápaly, hormonálne poruchy)</w:t>
      </w:r>
    </w:p>
    <w:p w:rsidR="00017D2C" w:rsidRDefault="00017D2C" w:rsidP="00017D2C">
      <w:pPr>
        <w:pStyle w:val="Odsekzoznamu"/>
        <w:numPr>
          <w:ilvl w:val="0"/>
          <w:numId w:val="1"/>
        </w:numPr>
        <w:jc w:val="both"/>
      </w:pPr>
      <w:r>
        <w:t>stomatologické ochorenia (zápaly ústnej dutiny, paradentóza)</w:t>
      </w:r>
    </w:p>
    <w:p w:rsidR="00017D2C" w:rsidRPr="00DD04EC" w:rsidRDefault="00017D2C" w:rsidP="00017D2C">
      <w:pPr>
        <w:jc w:val="both"/>
        <w:rPr>
          <w:b/>
        </w:rPr>
      </w:pPr>
      <w:r w:rsidRPr="00DD04EC">
        <w:rPr>
          <w:b/>
        </w:rPr>
        <w:t>Jej pôsobenie na organizmus:</w:t>
      </w:r>
    </w:p>
    <w:p w:rsidR="00017D2C" w:rsidRDefault="00017D2C" w:rsidP="00017D2C">
      <w:pPr>
        <w:jc w:val="both"/>
      </w:pPr>
      <w:r>
        <w:t>Optimálne zloženie minerálov v tejto soli pomáha bunkám zlepšiť látkovú výmenu a prispieva k ich regenerácii. Obsiahnuté minerály odstraňujú z pokožky škodliviny. Majú antialergický, dezinfekční a vysušujúci účinok.</w:t>
      </w:r>
    </w:p>
    <w:p w:rsidR="00017D2C" w:rsidRDefault="00017D2C" w:rsidP="00017D2C">
      <w:pPr>
        <w:jc w:val="both"/>
      </w:pPr>
      <w:r>
        <w:t>Dominantou je horčík (magnézium), ktorý má nezastupiteľnú úlohu v živote organizmu. Reguluje srdcovú činnosť a svalovú koncentráciu, chráni nervy, je známy ako proti</w:t>
      </w:r>
      <w:r w:rsidR="007C048E">
        <w:t xml:space="preserve"> </w:t>
      </w:r>
      <w:r>
        <w:t>streso</w:t>
      </w:r>
      <w:r w:rsidR="007C048E">
        <w:t>v</w:t>
      </w:r>
      <w:r>
        <w:t xml:space="preserve">ý </w:t>
      </w:r>
      <w:proofErr w:type="spellStart"/>
      <w:r>
        <w:t>iont</w:t>
      </w:r>
      <w:proofErr w:type="spellEnd"/>
      <w:r>
        <w:t>, pomáha telu využívať vitamíny C a E a zabraňuje ukladaniu vápnika v obličkách a žlčníku.</w:t>
      </w:r>
    </w:p>
    <w:p w:rsidR="00017D2C" w:rsidRPr="00DD04EC" w:rsidRDefault="00017D2C" w:rsidP="00017D2C">
      <w:pPr>
        <w:spacing w:after="0"/>
        <w:jc w:val="both"/>
        <w:rPr>
          <w:b/>
        </w:rPr>
      </w:pPr>
      <w:r w:rsidRPr="00DD04EC">
        <w:rPr>
          <w:b/>
        </w:rPr>
        <w:t>Základné chemické zloženie:</w:t>
      </w:r>
    </w:p>
    <w:p w:rsidR="00017D2C" w:rsidRPr="00DD04EC" w:rsidRDefault="00017D2C" w:rsidP="00017D2C">
      <w:pPr>
        <w:spacing w:after="0"/>
        <w:jc w:val="both"/>
        <w:rPr>
          <w:b/>
        </w:rPr>
        <w:sectPr w:rsidR="00017D2C" w:rsidRPr="00DD04EC" w:rsidSect="000536E2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17D2C" w:rsidRDefault="00017D2C" w:rsidP="00017D2C">
      <w:pPr>
        <w:spacing w:after="0"/>
        <w:jc w:val="both"/>
      </w:pPr>
      <w:r>
        <w:lastRenderedPageBreak/>
        <w:t>MgCl</w:t>
      </w:r>
      <w:r>
        <w:rPr>
          <w:vertAlign w:val="subscript"/>
        </w:rPr>
        <w:t>2</w:t>
      </w:r>
      <w:r>
        <w:t xml:space="preserve"> .................. 427 g/l</w:t>
      </w:r>
    </w:p>
    <w:p w:rsidR="00017D2C" w:rsidRDefault="00017D2C" w:rsidP="00017D2C">
      <w:pPr>
        <w:spacing w:after="0"/>
        <w:jc w:val="both"/>
      </w:pPr>
      <w:r>
        <w:t>Mg ...................... 109 g/l</w:t>
      </w:r>
    </w:p>
    <w:p w:rsidR="00017D2C" w:rsidRDefault="00017D2C" w:rsidP="00017D2C">
      <w:pPr>
        <w:spacing w:after="0"/>
        <w:jc w:val="both"/>
      </w:pPr>
      <w:r>
        <w:t>chloridy ............... 320 g/l</w:t>
      </w:r>
    </w:p>
    <w:p w:rsidR="00017D2C" w:rsidRDefault="00017D2C" w:rsidP="00017D2C">
      <w:pPr>
        <w:spacing w:after="0"/>
        <w:jc w:val="both"/>
      </w:pPr>
      <w:r>
        <w:t>Na ...................... 1 205 mg/l</w:t>
      </w:r>
    </w:p>
    <w:p w:rsidR="00017D2C" w:rsidRDefault="00017D2C" w:rsidP="00017D2C">
      <w:pPr>
        <w:spacing w:after="0"/>
        <w:jc w:val="both"/>
      </w:pPr>
      <w:proofErr w:type="spellStart"/>
      <w:r>
        <w:t>bromidy</w:t>
      </w:r>
      <w:proofErr w:type="spellEnd"/>
      <w:r>
        <w:t xml:space="preserve"> .............. 8 282 mg/l</w:t>
      </w:r>
    </w:p>
    <w:p w:rsidR="00017D2C" w:rsidRDefault="00017D2C" w:rsidP="00017D2C">
      <w:pPr>
        <w:spacing w:after="0"/>
        <w:jc w:val="both"/>
      </w:pPr>
      <w:r>
        <w:t>B ............................ 65 mg/l</w:t>
      </w:r>
    </w:p>
    <w:p w:rsidR="00017D2C" w:rsidRDefault="00017D2C" w:rsidP="00017D2C">
      <w:pPr>
        <w:spacing w:after="0"/>
        <w:jc w:val="both"/>
      </w:pPr>
      <w:r>
        <w:t>K ........................... 677 mg/l</w:t>
      </w:r>
    </w:p>
    <w:p w:rsidR="00017D2C" w:rsidRDefault="00017D2C" w:rsidP="00017D2C">
      <w:pPr>
        <w:spacing w:after="0"/>
        <w:jc w:val="both"/>
      </w:pPr>
      <w:proofErr w:type="spellStart"/>
      <w:r>
        <w:t>Ca</w:t>
      </w:r>
      <w:proofErr w:type="spellEnd"/>
      <w:r>
        <w:t xml:space="preserve"> ......................... 199 mg/l</w:t>
      </w:r>
    </w:p>
    <w:p w:rsidR="00017D2C" w:rsidRDefault="00017D2C" w:rsidP="00017D2C">
      <w:pPr>
        <w:spacing w:after="0"/>
        <w:jc w:val="both"/>
      </w:pPr>
      <w:proofErr w:type="spellStart"/>
      <w:r>
        <w:t>Cr</w:t>
      </w:r>
      <w:proofErr w:type="spellEnd"/>
      <w:r>
        <w:t xml:space="preserve"> ....................... 7,1 mg/l</w:t>
      </w:r>
    </w:p>
    <w:p w:rsidR="00017D2C" w:rsidRDefault="00017D2C" w:rsidP="00017D2C">
      <w:pPr>
        <w:spacing w:after="0"/>
        <w:jc w:val="both"/>
        <w:sectPr w:rsidR="00017D2C" w:rsidSect="00017D2C">
          <w:type w:val="continuous"/>
          <w:pgSz w:w="11906" w:h="16838"/>
          <w:pgMar w:top="1417" w:right="1417" w:bottom="1417" w:left="1417" w:header="708" w:footer="708" w:gutter="0"/>
          <w:cols w:num="3" w:space="0"/>
          <w:docGrid w:linePitch="360"/>
        </w:sectPr>
      </w:pPr>
    </w:p>
    <w:p w:rsidR="00017D2C" w:rsidRPr="00DD04EC" w:rsidRDefault="00017D2C" w:rsidP="00017D2C">
      <w:pPr>
        <w:jc w:val="both"/>
        <w:rPr>
          <w:b/>
        </w:rPr>
      </w:pPr>
      <w:r w:rsidRPr="00DD04EC">
        <w:rPr>
          <w:b/>
        </w:rPr>
        <w:lastRenderedPageBreak/>
        <w:t>Ako používať Živú magnéziovú soľ:</w:t>
      </w:r>
    </w:p>
    <w:p w:rsidR="00017D2C" w:rsidRDefault="00017D2C" w:rsidP="00017D2C">
      <w:pPr>
        <w:jc w:val="both"/>
      </w:pPr>
      <w:r>
        <w:t xml:space="preserve">Typickými príznakmi nedostatku horčíka sú kŕče v lýtkach a stehnách, tupá bolesť hlavy, závrate a pokles koncentrácie. V mnohých prípadoch sa pridáva srdečná </w:t>
      </w:r>
      <w:proofErr w:type="spellStart"/>
      <w:r>
        <w:t>arytmia</w:t>
      </w:r>
      <w:proofErr w:type="spellEnd"/>
      <w:r>
        <w:t>, žal</w:t>
      </w:r>
      <w:r w:rsidR="007C048E">
        <w:t>ú</w:t>
      </w:r>
      <w:r>
        <w:t>dočné kŕče, nevoľnosť a zvracanie. Pokiaľ máte takéto kožné problémy, tak spĺňate všetky dôvody pre urýchlený zvýšený prísun horčíka.</w:t>
      </w:r>
    </w:p>
    <w:p w:rsidR="00017D2C" w:rsidRPr="00DD04EC" w:rsidRDefault="00017D2C" w:rsidP="00017D2C">
      <w:pPr>
        <w:jc w:val="both"/>
        <w:rPr>
          <w:b/>
          <w:u w:val="single"/>
        </w:rPr>
      </w:pPr>
      <w:r w:rsidRPr="00DD04EC">
        <w:rPr>
          <w:b/>
          <w:u w:val="single"/>
        </w:rPr>
        <w:t>Túto soľ je možné používať vo forme kúpeľa alebo ako nasýtený roztok</w:t>
      </w:r>
    </w:p>
    <w:p w:rsidR="00017D2C" w:rsidRPr="00DD04EC" w:rsidRDefault="00017D2C" w:rsidP="00017D2C">
      <w:pPr>
        <w:jc w:val="both"/>
        <w:rPr>
          <w:b/>
        </w:rPr>
      </w:pPr>
      <w:r w:rsidRPr="00DD04EC">
        <w:rPr>
          <w:b/>
        </w:rPr>
        <w:t>Vo forme kúpeľa:</w:t>
      </w:r>
    </w:p>
    <w:p w:rsidR="00017D2C" w:rsidRDefault="00017D2C" w:rsidP="00017D2C">
      <w:pPr>
        <w:jc w:val="both"/>
      </w:pPr>
      <w:r>
        <w:t>Soľ si vo vani rozpustíme, pričom máme na pamäti koncentráciu a množstvo vody – čím viac vody, tým väčšie množstvo živej soli. Všeobecne platí, že na jednu vaňu vody (cca 60 litrov vody) pridáme asi 250 g živej soli. Teplota vody by mala byť 38 – 45° C. Odporúčame ponoriť hlavne bolestivé časti tela. Pokiaľ je vo vani priestor k pohybu, tak ho odporúčame využiť. Dĺžka kúpeľa by mala byť od 15 do 25 minút. Pri pobyte vo vody nad 25 minút dochádza k vylučovaniu látok s </w:t>
      </w:r>
      <w:proofErr w:type="spellStart"/>
      <w:r>
        <w:t>hydrogiroskopickými</w:t>
      </w:r>
      <w:proofErr w:type="spellEnd"/>
      <w:r>
        <w:t xml:space="preserve"> vlastnosťami a pokožka stráca schopnosť viazať vodu.</w:t>
      </w:r>
    </w:p>
    <w:p w:rsidR="00017D2C" w:rsidRDefault="00017D2C" w:rsidP="00017D2C">
      <w:pPr>
        <w:jc w:val="both"/>
      </w:pPr>
      <w:r>
        <w:t>Po skončení kúpeľa nepoužívajte mydlo, ani šampóny. Minerály dostatočne odstraňujú nadbytočné tuky a špinu. Opláchnete telo čistou vodou a ešte asi hodinu zostaňte zabalený v teple, čím sa zvýši účinok živej soli.</w:t>
      </w:r>
    </w:p>
    <w:p w:rsidR="00017D2C" w:rsidRDefault="00017D2C" w:rsidP="00017D2C">
      <w:pPr>
        <w:jc w:val="both"/>
      </w:pPr>
      <w:r>
        <w:t>V prípade, že máte bolestivú iba časť tela, ktorú potrebujete preliečiť, urobte si koncentrovanejší roztok (do 500 g živej soli vlejte cca 2 l vody), namočte do roztoku gázu alebo vatu a obklad si prikladajte na postihnuté miesto.</w:t>
      </w:r>
    </w:p>
    <w:p w:rsidR="00017D2C" w:rsidRDefault="00017D2C" w:rsidP="00017D2C">
      <w:pPr>
        <w:jc w:val="both"/>
      </w:pPr>
      <w:r>
        <w:t>Všeobecne sa odporúča používať živú soľ vo forme kúpeľa 2 – 3 x týždenne počas 2 – 4 týždňov. Ani niekoľkonásobne prekročenie denného limitu (cca 300 mg) horčíku zdravému človeku neuškodí, pretože nadbytočné množstvo sa automaticky z tela vylúči.</w:t>
      </w:r>
    </w:p>
    <w:p w:rsidR="00017D2C" w:rsidRDefault="00017D2C" w:rsidP="00017D2C">
      <w:pPr>
        <w:jc w:val="both"/>
      </w:pPr>
      <w:r>
        <w:t>Veľmi dobré možno odporučiť magnéziovú kúru, ktorá prebieha počas 4 týždňov formou kúpeľa: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817"/>
        <w:gridCol w:w="1042"/>
        <w:gridCol w:w="1139"/>
      </w:tblGrid>
      <w:tr w:rsidR="00017D2C" w:rsidTr="00E90987"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>týždeň</w:t>
            </w:r>
          </w:p>
        </w:tc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>týždenne</w:t>
            </w:r>
          </w:p>
        </w:tc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>g na kúpeľ</w:t>
            </w:r>
          </w:p>
        </w:tc>
      </w:tr>
      <w:tr w:rsidR="00017D2C" w:rsidTr="00E90987"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>1.</w:t>
            </w:r>
          </w:p>
        </w:tc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 xml:space="preserve">3 x </w:t>
            </w:r>
          </w:p>
        </w:tc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>500 g</w:t>
            </w:r>
          </w:p>
        </w:tc>
      </w:tr>
      <w:tr w:rsidR="00017D2C" w:rsidTr="00E90987"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>2.</w:t>
            </w:r>
          </w:p>
        </w:tc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 xml:space="preserve">3 x </w:t>
            </w:r>
          </w:p>
        </w:tc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>500 g</w:t>
            </w:r>
          </w:p>
        </w:tc>
      </w:tr>
      <w:tr w:rsidR="00017D2C" w:rsidTr="00E90987"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 xml:space="preserve">3. </w:t>
            </w:r>
          </w:p>
        </w:tc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>2 x</w:t>
            </w:r>
          </w:p>
        </w:tc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>500 g</w:t>
            </w:r>
          </w:p>
        </w:tc>
      </w:tr>
      <w:tr w:rsidR="00017D2C" w:rsidTr="00E90987"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 xml:space="preserve">4. </w:t>
            </w:r>
          </w:p>
        </w:tc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 xml:space="preserve">2 x </w:t>
            </w:r>
          </w:p>
        </w:tc>
        <w:tc>
          <w:tcPr>
            <w:tcW w:w="0" w:type="auto"/>
          </w:tcPr>
          <w:p w:rsidR="00017D2C" w:rsidRDefault="00017D2C" w:rsidP="00E90987">
            <w:pPr>
              <w:jc w:val="both"/>
            </w:pPr>
            <w:r>
              <w:t>500 g</w:t>
            </w:r>
          </w:p>
        </w:tc>
      </w:tr>
    </w:tbl>
    <w:p w:rsidR="00017D2C" w:rsidRDefault="00017D2C" w:rsidP="00017D2C">
      <w:pPr>
        <w:jc w:val="both"/>
      </w:pPr>
    </w:p>
    <w:p w:rsidR="00017D2C" w:rsidRDefault="00017D2C" w:rsidP="00017D2C">
      <w:pPr>
        <w:jc w:val="both"/>
      </w:pPr>
      <w:r>
        <w:t>Na túto magnéziovú kúru je potrebné 5 kg magnéziovej soli.</w:t>
      </w:r>
    </w:p>
    <w:p w:rsidR="00017D2C" w:rsidRPr="00DD04EC" w:rsidRDefault="00017D2C" w:rsidP="00017D2C">
      <w:pPr>
        <w:jc w:val="both"/>
        <w:rPr>
          <w:b/>
        </w:rPr>
      </w:pPr>
      <w:r w:rsidRPr="00DD04EC">
        <w:rPr>
          <w:b/>
        </w:rPr>
        <w:t>A nezabudnite! Vodu z vane môžete používať na zalievanie kvetín v byte! Budete milo prekvapení už po dvoch týždňoch.</w:t>
      </w:r>
    </w:p>
    <w:p w:rsidR="00017D2C" w:rsidRPr="0016589B" w:rsidRDefault="00017D2C" w:rsidP="00017D2C">
      <w:pPr>
        <w:spacing w:after="0" w:line="240" w:lineRule="auto"/>
        <w:jc w:val="both"/>
        <w:rPr>
          <w:rFonts w:eastAsia="Times New Roman" w:cs="Arial"/>
          <w:lang w:eastAsia="sk-SK"/>
        </w:rPr>
      </w:pPr>
      <w:r w:rsidRPr="0016589B">
        <w:rPr>
          <w:rFonts w:eastAsia="Times New Roman" w:cs="Arial"/>
          <w:lang w:eastAsia="sk-SK"/>
        </w:rPr>
        <w:t xml:space="preserve">viac </w:t>
      </w:r>
      <w:proofErr w:type="spellStart"/>
      <w:r w:rsidRPr="0016589B">
        <w:rPr>
          <w:rFonts w:eastAsia="Times New Roman" w:cs="Arial"/>
          <w:lang w:eastAsia="sk-SK"/>
        </w:rPr>
        <w:t>info</w:t>
      </w:r>
      <w:proofErr w:type="spellEnd"/>
      <w:r w:rsidRPr="0016589B">
        <w:rPr>
          <w:rFonts w:eastAsia="Times New Roman" w:cs="Arial"/>
          <w:lang w:eastAsia="sk-SK"/>
        </w:rPr>
        <w:t xml:space="preserve"> na </w:t>
      </w:r>
      <w:hyperlink r:id="rId10" w:history="1">
        <w:r w:rsidRPr="0016589B">
          <w:rPr>
            <w:rStyle w:val="Hypertextovprepojenie"/>
            <w:rFonts w:eastAsia="Times New Roman" w:cs="Arial"/>
            <w:lang w:eastAsia="sk-SK"/>
          </w:rPr>
          <w:t>www.wellba.sk</w:t>
        </w:r>
      </w:hyperlink>
    </w:p>
    <w:p w:rsidR="00017D2C" w:rsidRPr="0016589B" w:rsidRDefault="00DC369C" w:rsidP="00017D2C">
      <w:pPr>
        <w:spacing w:after="0" w:line="240" w:lineRule="auto"/>
        <w:jc w:val="both"/>
        <w:rPr>
          <w:rStyle w:val="contact"/>
        </w:rPr>
      </w:pPr>
      <w:r>
        <w:rPr>
          <w:rFonts w:eastAsia="Times New Roman" w:cs="Arial"/>
          <w:lang w:eastAsia="sk-SK"/>
        </w:rPr>
        <w:t>V</w:t>
      </w:r>
      <w:r w:rsidR="00017D2C" w:rsidRPr="0016589B">
        <w:rPr>
          <w:rFonts w:eastAsia="Times New Roman" w:cs="Arial"/>
          <w:lang w:eastAsia="sk-SK"/>
        </w:rPr>
        <w:t>ýrob</w:t>
      </w:r>
      <w:r>
        <w:rPr>
          <w:rFonts w:eastAsia="Times New Roman" w:cs="Arial"/>
          <w:lang w:eastAsia="sk-SK"/>
        </w:rPr>
        <w:t>ca</w:t>
      </w:r>
      <w:r w:rsidR="00017D2C" w:rsidRPr="0016589B">
        <w:rPr>
          <w:rFonts w:eastAsia="Times New Roman" w:cs="Arial"/>
          <w:lang w:eastAsia="sk-SK"/>
        </w:rPr>
        <w:t xml:space="preserve">: Daniel </w:t>
      </w:r>
      <w:proofErr w:type="spellStart"/>
      <w:r w:rsidR="00017D2C" w:rsidRPr="0016589B">
        <w:rPr>
          <w:rFonts w:eastAsia="Times New Roman" w:cs="Arial"/>
          <w:lang w:eastAsia="sk-SK"/>
        </w:rPr>
        <w:t>Obdržálek</w:t>
      </w:r>
      <w:proofErr w:type="spellEnd"/>
      <w:r w:rsidR="00017D2C" w:rsidRPr="0016589B">
        <w:rPr>
          <w:rFonts w:eastAsia="Times New Roman" w:cs="Arial"/>
          <w:lang w:eastAsia="sk-SK"/>
        </w:rPr>
        <w:t xml:space="preserve">, </w:t>
      </w:r>
      <w:r w:rsidR="00017D2C" w:rsidRPr="0016589B">
        <w:rPr>
          <w:rStyle w:val="contact"/>
        </w:rPr>
        <w:t>Nový Malín 480</w:t>
      </w:r>
      <w:r w:rsidR="00017D2C">
        <w:rPr>
          <w:rStyle w:val="contact"/>
        </w:rPr>
        <w:t>, CZ</w:t>
      </w:r>
    </w:p>
    <w:p w:rsidR="00017D2C" w:rsidRPr="0016589B" w:rsidRDefault="00017D2C" w:rsidP="00017D2C">
      <w:pPr>
        <w:spacing w:after="0" w:line="240" w:lineRule="auto"/>
        <w:jc w:val="both"/>
        <w:rPr>
          <w:rFonts w:eastAsia="Times New Roman" w:cs="Arial"/>
          <w:lang w:eastAsia="sk-SK"/>
        </w:rPr>
      </w:pPr>
      <w:r w:rsidRPr="0016589B">
        <w:rPr>
          <w:rStyle w:val="contact"/>
        </w:rPr>
        <w:t xml:space="preserve">Distribútor pre SR: </w:t>
      </w:r>
      <w:r w:rsidR="00F46A1B">
        <w:rPr>
          <w:rStyle w:val="contact"/>
        </w:rPr>
        <w:t xml:space="preserve">Vojtech </w:t>
      </w:r>
      <w:proofErr w:type="spellStart"/>
      <w:r w:rsidR="00F46A1B">
        <w:rPr>
          <w:rStyle w:val="contact"/>
        </w:rPr>
        <w:t>Sirkovský</w:t>
      </w:r>
      <w:proofErr w:type="spellEnd"/>
      <w:r w:rsidR="00F46A1B">
        <w:rPr>
          <w:rStyle w:val="contact"/>
        </w:rPr>
        <w:t xml:space="preserve"> - </w:t>
      </w:r>
      <w:proofErr w:type="spellStart"/>
      <w:r w:rsidR="00F46A1B">
        <w:rPr>
          <w:rStyle w:val="contact"/>
        </w:rPr>
        <w:t>Wellba</w:t>
      </w:r>
      <w:proofErr w:type="spellEnd"/>
      <w:r w:rsidRPr="0016589B">
        <w:rPr>
          <w:rStyle w:val="contact"/>
        </w:rPr>
        <w:t>,</w:t>
      </w:r>
      <w:r w:rsidR="00F46A1B">
        <w:rPr>
          <w:rStyle w:val="contact"/>
        </w:rPr>
        <w:t xml:space="preserve"> </w:t>
      </w:r>
      <w:proofErr w:type="spellStart"/>
      <w:r w:rsidR="00F46A1B">
        <w:rPr>
          <w:rStyle w:val="contact"/>
        </w:rPr>
        <w:t>Ambroseho</w:t>
      </w:r>
      <w:proofErr w:type="spellEnd"/>
      <w:r w:rsidR="00F46A1B">
        <w:rPr>
          <w:rStyle w:val="contact"/>
        </w:rPr>
        <w:t xml:space="preserve"> 13,</w:t>
      </w:r>
      <w:bookmarkStart w:id="0" w:name="_GoBack"/>
      <w:bookmarkEnd w:id="0"/>
      <w:r w:rsidRPr="0016589B">
        <w:rPr>
          <w:rStyle w:val="contact"/>
        </w:rPr>
        <w:t xml:space="preserve"> Bratislava</w:t>
      </w:r>
      <w:r w:rsidRPr="0016589B">
        <w:rPr>
          <w:rFonts w:eastAsia="Times New Roman" w:cs="Arial"/>
          <w:lang w:eastAsia="sk-SK"/>
        </w:rPr>
        <w:t xml:space="preserve"> </w:t>
      </w:r>
    </w:p>
    <w:p w:rsidR="00017D2C" w:rsidRDefault="00017D2C" w:rsidP="00017D2C">
      <w:pPr>
        <w:jc w:val="both"/>
      </w:pPr>
      <w:r>
        <w:t>Hmotnosť: 1 kg</w:t>
      </w:r>
    </w:p>
    <w:p w:rsidR="006C0AB7" w:rsidRDefault="006C0AB7"/>
    <w:sectPr w:rsidR="006C0AB7" w:rsidSect="006C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50D" w:rsidRDefault="0088250D">
      <w:pPr>
        <w:spacing w:after="0" w:line="240" w:lineRule="auto"/>
      </w:pPr>
      <w:r>
        <w:separator/>
      </w:r>
    </w:p>
  </w:endnote>
  <w:endnote w:type="continuationSeparator" w:id="0">
    <w:p w:rsidR="0088250D" w:rsidRDefault="00882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292986"/>
      <w:docPartObj>
        <w:docPartGallery w:val="Page Numbers (Bottom of Page)"/>
        <w:docPartUnique/>
      </w:docPartObj>
    </w:sdtPr>
    <w:sdtEndPr/>
    <w:sdtContent>
      <w:p w:rsidR="008D7282" w:rsidRDefault="00F13D4D">
        <w:pPr>
          <w:pStyle w:val="Pta"/>
          <w:jc w:val="right"/>
        </w:pPr>
        <w:r>
          <w:fldChar w:fldCharType="begin"/>
        </w:r>
        <w:r w:rsidR="00017D2C">
          <w:instrText xml:space="preserve"> PAGE   \* MERGEFORMAT </w:instrText>
        </w:r>
        <w:r>
          <w:fldChar w:fldCharType="separate"/>
        </w:r>
        <w:r w:rsidR="00F46A1B">
          <w:rPr>
            <w:noProof/>
          </w:rPr>
          <w:t>2</w:t>
        </w:r>
        <w:r>
          <w:fldChar w:fldCharType="end"/>
        </w:r>
      </w:p>
    </w:sdtContent>
  </w:sdt>
  <w:p w:rsidR="008D7282" w:rsidRDefault="0088250D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50D" w:rsidRDefault="0088250D">
      <w:pPr>
        <w:spacing w:after="0" w:line="240" w:lineRule="auto"/>
      </w:pPr>
      <w:r>
        <w:separator/>
      </w:r>
    </w:p>
  </w:footnote>
  <w:footnote w:type="continuationSeparator" w:id="0">
    <w:p w:rsidR="0088250D" w:rsidRDefault="008825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D1427"/>
    <w:multiLevelType w:val="hybridMultilevel"/>
    <w:tmpl w:val="9A3A4FA4"/>
    <w:lvl w:ilvl="0" w:tplc="041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7D2C"/>
    <w:rsid w:val="00017D2C"/>
    <w:rsid w:val="006C0AB7"/>
    <w:rsid w:val="007C048E"/>
    <w:rsid w:val="0088250D"/>
    <w:rsid w:val="00DC369C"/>
    <w:rsid w:val="00F13D4D"/>
    <w:rsid w:val="00F4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17D2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17D2C"/>
    <w:pPr>
      <w:ind w:left="720"/>
      <w:contextualSpacing/>
    </w:pPr>
  </w:style>
  <w:style w:type="table" w:styleId="Mriekatabuky">
    <w:name w:val="Table Grid"/>
    <w:basedOn w:val="Normlnatabuka"/>
    <w:uiPriority w:val="59"/>
    <w:rsid w:val="00017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17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17D2C"/>
  </w:style>
  <w:style w:type="character" w:styleId="Hypertextovprepojenie">
    <w:name w:val="Hyperlink"/>
    <w:basedOn w:val="Predvolenpsmoodseku"/>
    <w:uiPriority w:val="99"/>
    <w:unhideWhenUsed/>
    <w:rsid w:val="00017D2C"/>
    <w:rPr>
      <w:color w:val="0000FF"/>
      <w:u w:val="single"/>
    </w:rPr>
  </w:style>
  <w:style w:type="character" w:customStyle="1" w:styleId="contact">
    <w:name w:val="contact"/>
    <w:basedOn w:val="Predvolenpsmoodseku"/>
    <w:rsid w:val="00017D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wellba.sk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595</Words>
  <Characters>3394</Characters>
  <Application>Microsoft Office Word</Application>
  <DocSecurity>0</DocSecurity>
  <Lines>28</Lines>
  <Paragraphs>7</Paragraphs>
  <ScaleCrop>false</ScaleCrop>
  <Company/>
  <LinksUpToDate>false</LinksUpToDate>
  <CharactersWithSpaces>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lenovo_ntb</dc:creator>
  <cp:lastModifiedBy>HP</cp:lastModifiedBy>
  <cp:revision>4</cp:revision>
  <dcterms:created xsi:type="dcterms:W3CDTF">2013-11-19T19:48:00Z</dcterms:created>
  <dcterms:modified xsi:type="dcterms:W3CDTF">2015-06-01T06:12:00Z</dcterms:modified>
</cp:coreProperties>
</file>